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Arial Narrow" w:cs="Arial Narrow" w:eastAsia="Arial Narrow" w:hAnsi="Arial Narrow"/>
          <w:b w:val="1"/>
          <w:color w:val="404040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6"/>
          <w:szCs w:val="36"/>
          <w:rtl w:val="0"/>
        </w:rPr>
        <w:t xml:space="preserve">Standard &amp; Poor’s mejora la perspectiva de CAF a positiva desde estable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highlight w:val="yellow"/>
        </w:rPr>
      </w:pPr>
      <w:r w:rsidDel="00000000" w:rsidR="00000000" w:rsidRPr="00000000">
        <w:rPr>
          <w:color w:val="2222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Arial Narrow" w:cs="Arial Narrow" w:eastAsia="Arial Narrow" w:hAnsi="Arial Narrow"/>
          <w:i w:val="1"/>
          <w:color w:val="a6a6a6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a6a6a6"/>
          <w:rtl w:val="0"/>
        </w:rPr>
        <w:t xml:space="preserve">S&amp;P Global Ratings revisó a positiva la perspectiva de CAF -banco de desarrollo de América Latina, impulsada por las mejoras en los indicadores de capitalización y el mantenimiento de su sólida liquidez. La Agencia resaltó el compromiso de sus accionistas y la incorporación de México y Costa Rica como miembros plenos. También destacó el aporte de CAF para enfrentar la pandemia en la región.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a6a6a6"/>
          <w:sz w:val="24"/>
          <w:szCs w:val="24"/>
          <w:rtl w:val="0"/>
        </w:rPr>
        <w:t xml:space="preserve">(Ciudad de México, 15 de junio de 2021).- 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Standard &amp; Poor 's (S&amp;P) Global Ratings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revisó a positiva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la perspectiva de CAF -banco de desarrollo de América Latina- y confirmó sus calificaciones de riesgo crediticio de emisor de largo y corto plazo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'A+/A-1'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, respectivamente.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"La perspectiva positiva refleja nuestra opinión de que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CAF mantendrá la mejora en su posición de capital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, respaldada por pagos de capital de miembros nuevos y existentes que contrarrestarán los aumentos en el financiamiento y las vulnerabilidades de las calificaciones soberanas en la región", aseguró la entidad en un comunicado.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La calificadora de riesgo destacó igualmente que CAF tiene un acceso sustancial y establecido a los mercados, siendo un emisor de referencia regular en el mercado de capitales global. “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Creemos que CAF gestionará el crecimiento del balance y el capital con prudencia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. La institución ha realizado esfuerzos para diversificar su cartera y aumentar gradualmente la exposición a soberanos con grado de inversión”, añadió en su reporte.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Por su parte, el presidente ejecutivo interino de CAF,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Renny López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, afirmó: "La mejora en la perspectiva de CAF por parte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S&amp;P refleja la solidez financiera de la institución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, debido al continuo apoyo de sus países accionistas mediante aportes de capital y el ingreso como miembros plenos de México y Costa Rica. Igualmente, agradecemos el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reconocimiento hecho por la calificadora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de riesgo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a nuestro compromiso por ayudar a los latinoamericanos a enfrentar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pandemia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y promover su bienestar y reactivación económica con más de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USD 7 mil millones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La ratificación de la calificación de S&amp;P y su revisión en la perspectiva a positiva fortalece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confianza de los inversionistas 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en los títulos de deuda de CAF, reflejada recientemente como el primer emisor latinoamericano en colocar bonos con la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tasa SOFR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CAF cerró el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2020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con un récord de más de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USD 14.000 millones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en aprobaciones de préstamos, la mayoría destinados a atender los efectos de la pandemia en la economía y en los sistemas de salud, así como a mejorar las infraestructuras digitales, terrestres y energéticas. Al cierre de su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50 aniversario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el organismo multilateral acumuló un total de más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USD 200.000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millones aprobados desde 1970, para promover el desarrollo sostenible y la integración regional.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####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1794038</wp:posOffset>
          </wp:positionH>
          <wp:positionV relativeFrom="paragraph">
            <wp:posOffset>-342899</wp:posOffset>
          </wp:positionV>
          <wp:extent cx="2143125" cy="581025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05" l="0" r="0" t="13684"/>
                  <a:stretch>
                    <a:fillRect/>
                  </a:stretch>
                </pic:blipFill>
                <pic:spPr>
                  <a:xfrm>
                    <a:off x="0" y="0"/>
                    <a:ext cx="2143125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